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bookmarkStart w:id="0" w:name="_GoBack"/>
      <w:r w:rsidRPr="003C2447">
        <w:rPr>
          <w:rFonts w:ascii="Arial" w:eastAsia="Times New Roman" w:hAnsi="Arial" w:cs="Arial"/>
          <w:b/>
          <w:bCs/>
          <w:color w:val="5E6B80"/>
          <w:sz w:val="19"/>
          <w:szCs w:val="19"/>
          <w:lang w:eastAsia="pl-PL"/>
        </w:rPr>
        <w:t>KURSY JĘZYKA POLSKIEGO DLA LEKARZY i LEKARZY DENTYSTÓW  Z UKRAINY</w:t>
      </w:r>
    </w:p>
    <w:bookmarkEnd w:id="0"/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Samorząd lekarski włącza się w pomoc lekarzom z Ukrainy. Ośrodek Doskonalenia Zawodowego Naczelnej Izby Lekarskiej organizuje kursy języka polskiego online dla ukraińskich lekarzy, którzy zmuszeni zostali opuścić Ukrainę z powodu wybuchu wojny.   Lekarzy chętnych do nauki języka polskiego prosimy o zgłaszanie się do poszczególnych okręgowych izb lekarskich </w:t>
      </w:r>
      <w:hyperlink r:id="rId5" w:history="1">
        <w:r w:rsidRPr="003C2447">
          <w:rPr>
            <w:rFonts w:ascii="Arial" w:eastAsia="Times New Roman" w:hAnsi="Arial" w:cs="Arial"/>
            <w:color w:val="337AB7"/>
            <w:sz w:val="19"/>
            <w:szCs w:val="19"/>
            <w:lang w:eastAsia="pl-PL"/>
          </w:rPr>
          <w:t>https://nil.org.pl/dzialalnosc/izby-okregowe</w:t>
        </w:r>
      </w:hyperlink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Szczegóły dotyczące warunków uczestnictwa, czasu trwania kursu, grafiku zajęć otrzymacie Państwo indywidualnie w informacji zwrotnej drogą e-mailową. 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 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b/>
          <w:bCs/>
          <w:color w:val="5E6B80"/>
          <w:sz w:val="19"/>
          <w:szCs w:val="19"/>
          <w:lang w:eastAsia="pl-PL"/>
        </w:rPr>
        <w:t>КУРСИ ПОЛЬСЬКОЇ МОВИ ДЛЯ ЛІКАРІВ ТА ЛІКАРІВ СТОМАТОЛОГІВ З УКРАЇНИ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Медичне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самоврядування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-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Вища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Лікарська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Палата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та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Окружні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Лікарські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Палати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(Naczelna Izba Lekarska i Okręgowe Izby Lekarskie) -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долучається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до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допомоги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лікарям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ta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лікарям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стоматологам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з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України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.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Центр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професійної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підготовки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Вищої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лікарської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палати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організовує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онлайн-курси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польської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мови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для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українських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лікарів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,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які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були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змушені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покинути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Україну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через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початок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війни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.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Лікарів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,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які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бажають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вивчати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польську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мову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,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просять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повідомляти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у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відповідні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окружні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лікарські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палати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 </w:t>
      </w:r>
      <w:hyperlink r:id="rId6" w:history="1">
        <w:r w:rsidRPr="003C2447">
          <w:rPr>
            <w:rFonts w:ascii="Arial" w:eastAsia="Times New Roman" w:hAnsi="Arial" w:cs="Arial"/>
            <w:color w:val="337AB7"/>
            <w:sz w:val="19"/>
            <w:szCs w:val="19"/>
            <w:lang w:eastAsia="pl-PL"/>
          </w:rPr>
          <w:t>https://nil.org.pl/dzialalnosc/izby-okregowe</w:t>
        </w:r>
      </w:hyperlink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.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Деталі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щодо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умов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участі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,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тривалості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курсу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,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розкладу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занять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ви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отримаєте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індивідуально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у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зворотному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зв’язку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на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електронну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пошту</w:t>
      </w:r>
      <w:proofErr w:type="spellEnd"/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b/>
          <w:bCs/>
          <w:color w:val="5E6B80"/>
          <w:sz w:val="19"/>
          <w:szCs w:val="19"/>
          <w:lang w:eastAsia="pl-PL"/>
        </w:rPr>
        <w:t>PODSTAWOWY KURS JĘZYKA UKRAŃSKIEGO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W tej chwili wszystkie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dostepne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terminy </w:t>
      </w:r>
      <w:proofErr w:type="spellStart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sa</w:t>
      </w:r>
      <w:proofErr w:type="spellEnd"/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 xml:space="preserve"> już zajęte. Jeśli uruchomienie nowych terminów będzie możliwe niezwłocznie opublikujemy nowe daty.</w:t>
      </w:r>
    </w:p>
    <w:p w:rsidR="003C2447" w:rsidRPr="003C2447" w:rsidRDefault="003C2447" w:rsidP="003C2447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color w:val="5E6B80"/>
          <w:sz w:val="19"/>
          <w:szCs w:val="19"/>
          <w:lang w:eastAsia="pl-PL"/>
        </w:rPr>
      </w:pPr>
      <w:r w:rsidRPr="003C2447">
        <w:rPr>
          <w:rFonts w:ascii="Arial" w:eastAsia="Times New Roman" w:hAnsi="Arial" w:cs="Arial"/>
          <w:color w:val="5E6B80"/>
          <w:sz w:val="19"/>
          <w:szCs w:val="19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C71CA" w:rsidRDefault="00AC71CA"/>
    <w:sectPr w:rsidR="00AC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47"/>
    <w:rsid w:val="003C2447"/>
    <w:rsid w:val="00A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65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11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l.org.pl/dzialalnosc/izby-okregowe" TargetMode="External"/><Relationship Id="rId5" Type="http://schemas.openxmlformats.org/officeDocument/2006/relationships/hyperlink" Target="https://nil.org.pl/dzialalnosc/izby-okreg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Oil</cp:lastModifiedBy>
  <cp:revision>1</cp:revision>
  <dcterms:created xsi:type="dcterms:W3CDTF">2022-04-05T12:22:00Z</dcterms:created>
  <dcterms:modified xsi:type="dcterms:W3CDTF">2022-04-05T12:22:00Z</dcterms:modified>
</cp:coreProperties>
</file>